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LV</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II PIELIKUMS</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“II PIELIKUMS</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NORĀDES PĀRSKATU SNIEGŠANAI PAR PAŠU KAPITĀLU UN PAŠU KAPITĀLA PRASĪBĀM</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II DAĻA. NORĀDĪJUMI SAISTĪBĀ AR VEIDNI</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rPr>
          <w:rFonts w:ascii="Times New Roman" w:hAnsi="Times New Roman"/>
          <w:sz w:val="24"/>
          <w:u w:val="none"/>
        </w:rPr>
        <w:tab/>
      </w:r>
      <w:r>
        <w:rPr>
          <w:rFonts w:ascii="Times New Roman" w:hAnsi="Times New Roman"/>
          <w:sz w:val="24"/>
        </w:rPr>
        <w:t>C 10.01. un C 10.02. — Kapitāla vērtspapīru riska darījumi atbilstoši uz iekšējiem reitingiem balstītajai pieejai (CR EQU IRB 1 un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rPr>
          <w:rFonts w:ascii="Times New Roman" w:hAnsi="Times New Roman"/>
          <w:sz w:val="24"/>
        </w:rPr>
        <w:tab/>
        <w:t>Vispārīgas piezīmes</w:t>
      </w:r>
      <w:bookmarkEnd w:id="4"/>
    </w:p>
    <w:p w14:paraId="325D5C5C" w14:textId="5351FFE5" w:rsidR="006063BD" w:rsidRPr="002A677E" w:rsidRDefault="006063BD" w:rsidP="006063BD">
      <w:pPr>
        <w:pStyle w:val="InstructionsText2"/>
        <w:numPr>
          <w:ilvl w:val="0"/>
          <w:numId w:val="0"/>
        </w:numPr>
        <w:ind w:left="993"/>
      </w:pPr>
      <w:r>
        <w:t xml:space="preserve">92. CR EQU IRB veidnē ir ietvertas divas veidnes. CR EQU IRB 1 sniegts vispārīgs pārskats par kapitāla vērtspapīru riska darījumu kategorijas IRB riska darījumiem un dažādām kopējās riska darījumu vērtības aprēķināšanas metodēm. CR EQU IRB 2 sniegts kopējo parādnieku kategorijās iedalīto riska darījumu sadalījums saistībā ar </w:t>
      </w:r>
      <w:r>
        <w:rPr>
          <w:i/>
          <w:iCs/>
        </w:rPr>
        <w:t>PD</w:t>
      </w:r>
      <w:r>
        <w:t>/</w:t>
      </w:r>
      <w:r>
        <w:rPr>
          <w:i/>
          <w:iCs/>
        </w:rPr>
        <w:t>LGD</w:t>
      </w:r>
      <w:r>
        <w:t xml:space="preserve"> pieeju. “CR EQU IRB” turpmākajās norādēs attiecīgā gadījumā attiecas gan uz “CR EQU IRB 1”, gan uz “CR EQU IRB 2”.</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CR EQU IRB veidnē sniegta informācija par riska darījumu riska svērto vērtību aprēķināšanu kredītriskam (Regulas (ES) Nr. 575/2013 92. panta 4. punkta a) apakšpunkts), riska darījumiem, uz kuriem attiecas Regulas (ES) Nr. 575/2013 495. panta 1. punkta b) apakšpunkts, kurus apstrādā saskaņā ar Regulas (ES) Nr. 575/2013 Trešās daļas II sadaļas 3. nodaļu kapitāla vērtspapīru riska darījumiem, kas norādīti minētās regulas 147. panta 2. punkta e) apakšpunktā. Kapitāla vērtspapīru riska darījumus, uz kuriem attiecas Regulas (ES) Nr. 575/2013 495. panta 1. punkta a) apakšpunkts un 495. panta 2. punkts, uzrāda CR SA veidnē (C 07.00). Kapitāla vērtspapīru riska darījumus, uz kuriem attiecas Regulas (ES) Nr. 575/2013 495.a panta 3. punkts, uzrāda arī CR SA veidnē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Saskaņā ar Regulas (ES) Nr. 575/2013 147. panta 6. punktu riska darījumus, kas minēti Regulas (ES) Nr. 575/2013 133. panta 1. punktā, iedala riska darījumu kategorijā “kapitāla vērtspapīru riska darījumi”, ja vien tie nav iedalīti riska darījumu kategorijā “riska darījumi KIU daļu vai ieguldījumu apliecību veidā”.</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[Svītrots]</w:t>
      </w:r>
    </w:p>
    <w:p w14:paraId="178611EC" w14:textId="34CA8091" w:rsidR="006063BD" w:rsidRPr="002A677E" w:rsidRDefault="006063BD" w:rsidP="006063BD">
      <w:pPr>
        <w:pStyle w:val="InstructionsText2"/>
        <w:numPr>
          <w:ilvl w:val="0"/>
          <w:numId w:val="0"/>
        </w:numPr>
        <w:ind w:left="993"/>
      </w:pPr>
      <w:r>
        <w:fldChar w:fldCharType="begin"/>
      </w:r>
      <w:r>
        <w:instrText>seq paragraphs</w:instrText>
      </w:r>
      <w:r>
        <w:fldChar w:fldCharType="separate"/>
      </w:r>
      <w:r>
        <w:t>96</w:t>
      </w:r>
      <w:r>
        <w:fldChar w:fldCharType="end"/>
      </w:r>
      <w:r>
        <w:t>.</w:t>
      </w:r>
      <w:r>
        <w:tab/>
        <w:t xml:space="preserve">Saskaņā ar Regulas (ES) Nr. 575/2013 495. panta 1. punkta b) apakšpunktu iestādes sniedz CR EQU IRB veidni, piemērojot vienu no trim pieejām: </w:t>
      </w:r>
    </w:p>
    <w:p w14:paraId="0D6A3825" w14:textId="77777777" w:rsidR="006063BD" w:rsidRPr="002A677E" w:rsidRDefault="006063BD" w:rsidP="006063BD">
      <w:pPr>
        <w:pStyle w:val="InstructionsText"/>
      </w:pPr>
      <w:r>
        <w:t>- vienkāršo riska svēruma pieeju,</w:t>
      </w:r>
    </w:p>
    <w:p w14:paraId="3EF899C4" w14:textId="77777777" w:rsidR="006063BD" w:rsidRPr="002A677E" w:rsidRDefault="006063BD" w:rsidP="006063BD">
      <w:pPr>
        <w:pStyle w:val="InstructionsText"/>
      </w:pPr>
      <w:r>
        <w:lastRenderedPageBreak/>
        <w:t xml:space="preserve">- </w:t>
      </w:r>
      <w:r>
        <w:rPr>
          <w:i/>
          <w:iCs/>
        </w:rPr>
        <w:t>PD</w:t>
      </w:r>
      <w:r>
        <w:t>/</w:t>
      </w:r>
      <w:r>
        <w:rPr>
          <w:i/>
          <w:iCs/>
        </w:rPr>
        <w:t>LGD</w:t>
      </w:r>
      <w:r>
        <w:t xml:space="preserve"> pieeju,</w:t>
      </w:r>
    </w:p>
    <w:p w14:paraId="622FC220" w14:textId="77777777" w:rsidR="006063BD" w:rsidRDefault="006063BD" w:rsidP="006063BD">
      <w:pPr>
        <w:pStyle w:val="InstructionsText"/>
      </w:pPr>
      <w:r>
        <w:t>- iekšējo modeļu pieeju.</w:t>
      </w:r>
    </w:p>
    <w:p w14:paraId="5D37423B" w14:textId="57B3065A" w:rsidR="006063BD" w:rsidRPr="002A677E" w:rsidRDefault="006063BD" w:rsidP="006063BD">
      <w:pPr>
        <w:pStyle w:val="InstructionsText2"/>
        <w:numPr>
          <w:ilvl w:val="0"/>
          <w:numId w:val="0"/>
        </w:numPr>
        <w:ind w:left="1353"/>
        <w:rPr>
          <w:noProof/>
        </w:rPr>
      </w:pPr>
      <w:r>
        <w:t xml:space="preserve">Saskaņā ar Regulas (ES) Nr. 575/2013 495. panta 1. punkta b) apakšpunktu iestādes dažādiem portfeļiem var piemērot dažādas pieejas (vienkāršo riska pakāpes pieeju, </w:t>
      </w:r>
      <w:r>
        <w:rPr>
          <w:i/>
          <w:iCs/>
        </w:rPr>
        <w:t>PD</w:t>
      </w:r>
      <w:r>
        <w:t>/</w:t>
      </w:r>
      <w:r>
        <w:rPr>
          <w:i/>
          <w:iCs/>
        </w:rPr>
        <w:t>LGD</w:t>
      </w:r>
      <w:r>
        <w:t xml:space="preserve"> pieeju vai iekšējo modeļu pieeju), ja tās šīs dažādās pieejas izmanto iekšēji.</w:t>
      </w:r>
    </w:p>
    <w:p w14:paraId="2BF4ADE6" w14:textId="52D016FB" w:rsidR="006063BD" w:rsidRPr="002A677E" w:rsidRDefault="006063BD" w:rsidP="006063BD">
      <w:pPr>
        <w:pStyle w:val="InstructionsText2"/>
        <w:numPr>
          <w:ilvl w:val="0"/>
          <w:numId w:val="0"/>
        </w:numPr>
        <w:ind w:left="1353"/>
        <w:rPr>
          <w:noProof/>
        </w:rPr>
      </w:pPr>
      <w:r>
        <w:t>Turklāt iestādes, kas piemēro IRB pieeju, CR EQU IRB veidnē uzrāda arī riska darījumu riska svērto vērtību tiem kapitāla vērtspapīru riska darījumiem, kas piesaista fiksēta riska svēruma procedūru (bet kam netiek skaidri piemērota vienkāršā riska svēruma pieeja vai kredītriska standartizētās pieejas (pagaidu vai pastāvīga) daļēja izmantošana), piemēram, kapitāla vērtspapīru riska darījumi, kas saskaņā ar Regulas (ES) Nr. 575/2013 48. panta 4. punktu piesaista riska svērumu 250 % apmērā, attiecīgi riska svērumu 370 % apmērā saskaņā ar minētās regulas 471. panta 2. punktu.</w:t>
      </w:r>
    </w:p>
    <w:p w14:paraId="4BBD6043" w14:textId="467889B4" w:rsidR="006063BD" w:rsidRDefault="00A65C1A" w:rsidP="0092685D">
      <w:pPr>
        <w:pStyle w:val="InstructionsText2"/>
        <w:numPr>
          <w:ilvl w:val="0"/>
          <w:numId w:val="0"/>
        </w:numPr>
        <w:ind w:left="993"/>
      </w:pPr>
      <w:r>
        <w:t>97.</w:t>
      </w:r>
      <w:r>
        <w:tab/>
        <w:t>[Svītrots]</w:t>
      </w:r>
    </w:p>
    <w:p w14:paraId="6DA8654B" w14:textId="4CECC17C" w:rsidR="00546AF1" w:rsidRPr="002A677E" w:rsidRDefault="00546AF1" w:rsidP="0092685D">
      <w:pPr>
        <w:pStyle w:val="InstructionsText2"/>
        <w:numPr>
          <w:ilvl w:val="0"/>
          <w:numId w:val="0"/>
        </w:numPr>
        <w:ind w:left="993"/>
      </w:pPr>
      <w:r>
        <w:t>97.a Turpmākie norādījumi attiecas uz Regulu (ES) Nr. 575/2013 redakcijā, kas piemērojama 2024. gada 8. jūlijā.</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rPr>
          <w:rFonts w:ascii="Times New Roman" w:hAnsi="Times New Roman"/>
          <w:sz w:val="24"/>
          <w:u w:val="none"/>
        </w:rPr>
        <w:tab/>
      </w:r>
      <w:r>
        <w:rPr>
          <w:rFonts w:ascii="Times New Roman" w:hAnsi="Times New Roman"/>
          <w:sz w:val="24"/>
        </w:rPr>
        <w:t>Norādes attiecībā uz konkrētām pozīcijām</w:t>
      </w:r>
      <w:bookmarkEnd w:id="5"/>
      <w:bookmarkEnd w:id="6"/>
      <w:r>
        <w:rPr>
          <w:rFonts w:ascii="Times New Roman" w:hAnsi="Times New Roman"/>
          <w:sz w:val="24"/>
        </w:rPr>
        <w:t xml:space="preserve"> (piemēro gan CR EQU IRB 1, gan CR EQU IRB 2)</w:t>
      </w:r>
      <w:bookmarkEnd w:id="7"/>
      <w:bookmarkEnd w:id="8"/>
      <w:bookmarkEnd w:id="9"/>
    </w:p>
    <w:tbl>
      <w:tblPr>
        <w:tblW w:w="0" w:type="auto"/>
        <w:tblLook w:val="01E0" w:firstRow="1" w:lastRow="1" w:firstColumn="1" w:lastColumn="1" w:noHBand="0" w:noVBand="0"/>
      </w:tblPr>
      <w:tblGrid>
        <w:gridCol w:w="876"/>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Slejas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PARĀDNIEKA KATEGORIJA (RINDAS IDENTIFIKATORS)</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Parādnieka kategorija ir rindas identifikators, un tas ir unikāls katrai veidnes rindai. </w:t>
            </w:r>
            <w:r>
              <w:rPr>
                <w:rFonts w:ascii="Times New Roman" w:hAnsi="Times New Roman"/>
                <w:sz w:val="24"/>
              </w:rPr>
              <w:t>Tajā ievērota numerācijas kārība 1, 2, 3 utt.</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IEKŠĒJO REITINGU SKALA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iCs/>
                <w:sz w:val="24"/>
              </w:rPr>
              <w:t>PD</w:t>
            </w:r>
            <w:r>
              <w:rPr>
                <w:rStyle w:val="InstructionsTabelleberschrift"/>
                <w:rFonts w:ascii="Times New Roman" w:hAnsi="Times New Roman"/>
                <w:sz w:val="24"/>
              </w:rPr>
              <w:t>, KAS NOTEIKTA PARĀDNIEKU KATEGORIJAI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0010. slejā uzrāda saistību neizpildes varbūtību (</w:t>
            </w:r>
            <w:r>
              <w:rPr>
                <w:rStyle w:val="InstructionsTabelleText"/>
                <w:rFonts w:ascii="Times New Roman" w:hAnsi="Times New Roman"/>
                <w:i/>
                <w:iCs/>
                <w:sz w:val="24"/>
              </w:rPr>
              <w:t>PD</w:t>
            </w:r>
            <w:r>
              <w:rPr>
                <w:rStyle w:val="InstructionsTabelleText"/>
                <w:rFonts w:ascii="Times New Roman" w:hAnsi="Times New Roman"/>
                <w:sz w:val="24"/>
              </w:rPr>
              <w:t>), kas aprēķināta saskaņā ar Regulas (ES) Nr. 575/2013 165. panta 1. punktu.</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Uzrādāmā </w:t>
            </w:r>
            <w:r>
              <w:rPr>
                <w:rStyle w:val="InstructionsTabelleText"/>
                <w:rFonts w:ascii="Times New Roman" w:hAnsi="Times New Roman"/>
                <w:i/>
                <w:iCs/>
                <w:sz w:val="24"/>
              </w:rPr>
              <w:t>PD</w:t>
            </w:r>
            <w:r>
              <w:rPr>
                <w:rStyle w:val="InstructionsTabelleText"/>
                <w:rFonts w:ascii="Times New Roman" w:hAnsi="Times New Roman"/>
                <w:sz w:val="24"/>
              </w:rPr>
              <w:t xml:space="preserve">, kas noteikta parādnieku kategorijai vai portfelim, atbilst obligātajām prasībām, kuras noteiktas Regulas (ES) Nr. 575/2013 Trešās daļas II sadaļas 3. nodaļas 6. iedaļā. Attiecībā uz katru individuālo kategoriju vai portfeli uzrāda konkrētajai parādnieku kategorijai vai portfelim noteikto </w:t>
            </w:r>
            <w:r>
              <w:rPr>
                <w:rStyle w:val="InstructionsTabelleText"/>
                <w:rFonts w:ascii="Times New Roman" w:hAnsi="Times New Roman"/>
                <w:i/>
                <w:iCs/>
                <w:sz w:val="24"/>
              </w:rPr>
              <w:t>PD</w:t>
            </w:r>
            <w:r>
              <w:rPr>
                <w:rStyle w:val="InstructionsTabelleText"/>
                <w:rFonts w:ascii="Times New Roman" w:hAnsi="Times New Roman"/>
                <w:sz w:val="24"/>
              </w:rPr>
              <w:t>. Visus uzrādītos riska parametrus iegūst no iekšējā reitingu skalā izmantotajiem riska parametriem, ko apstiprinājusi attiecīgā kompetentā iestāde.</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Attiecībā uz datiem, kas atbilst parādnieku kategoriju vai portfeļu apkopojumam (piemēram, “kopējie riska darījumi”), uzrāda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kas noteikta apkopojumā ietverto parādnieku kategorijām vai portfeļiem. Lai aprēķinātu riska darījuma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jāņem vērā visi riska darījumi, tostarp </w:t>
            </w:r>
            <w:r>
              <w:rPr>
                <w:rStyle w:val="InstructionsTabelleText"/>
                <w:rFonts w:ascii="Times New Roman" w:hAnsi="Times New Roman"/>
                <w:sz w:val="24"/>
              </w:rPr>
              <w:lastRenderedPageBreak/>
              <w:t xml:space="preserve">riska darījumi, kuros nav izpildītas saistības. Lai aprēķinātu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svēršanas nolūkos izmanto riska darījuma vērtību, kurā ņemta vērā </w:t>
            </w:r>
            <w:proofErr w:type="spellStart"/>
            <w:r>
              <w:rPr>
                <w:rStyle w:val="InstructionsTabelleText"/>
                <w:rFonts w:ascii="Times New Roman" w:hAnsi="Times New Roman"/>
                <w:sz w:val="24"/>
              </w:rPr>
              <w:t>nefondētā</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kredītaizsardzība</w:t>
            </w:r>
            <w:proofErr w:type="spellEnd"/>
            <w:r>
              <w:rPr>
                <w:rStyle w:val="InstructionsTabelleText"/>
                <w:rFonts w:ascii="Times New Roman" w:hAnsi="Times New Roman"/>
                <w:sz w:val="24"/>
              </w:rPr>
              <w:t xml:space="preserve"> (0060. sleja).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SĀKOTNĒJĀ RISKA DARĪJUMU VĒRTĪBA PIRMS KOREKCIJAS PAKĀPĒM</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Iestādes 0020. slejā uzrāda sākotnējo riska darījuma vērtību (pirms korekcijas pakāpēm). Saskaņā ar Regulas (ES) Nr. 575/2013 167. pantu riska darījumu vērtība kapitāla vērtspapīru riska darījumiem ir uzskaites vērtība, kas atliek pēc specifiskajām kredītriska korekcijām. </w:t>
            </w:r>
            <w:r>
              <w:rPr>
                <w:rFonts w:ascii="Times New Roman" w:hAnsi="Times New Roman"/>
                <w:sz w:val="24"/>
              </w:rPr>
              <w:t>Riska darījuma vērtība ārpusbilances kapitāla vērtspapīru riska darījumiem ir to nominālvērtība pēc specifiskajām kredītriska korekcijām.</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Iestādes 0020. slejā ietver arī Regulas (ES) Nr. 575/2013 I pielikumā minētos ārpusbilances posteņus, kas iedalīti kapitāla vērtspapīru riska darījumu kategorijā (piemēram, “daļēji apmaksāto akciju un vērtspapīru neapmaksātā daļa”).</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 xml:space="preserve">Iestādes, kas piemēro vienkāršo riska svēruma pieeju vai </w:t>
            </w:r>
            <w:r>
              <w:rPr>
                <w:rFonts w:ascii="Times New Roman" w:hAnsi="Times New Roman"/>
                <w:i/>
                <w:iCs/>
                <w:sz w:val="24"/>
              </w:rPr>
              <w:t>PD/LGD</w:t>
            </w:r>
            <w:r>
              <w:rPr>
                <w:rFonts w:ascii="Times New Roman" w:hAnsi="Times New Roman"/>
                <w:sz w:val="24"/>
              </w:rPr>
              <w:t xml:space="preserve"> pieeju (kā minēts Regulas (ES) Nr. 575/2013 165. panta 1. punktā), ņem vērā arī Regulas (ES) Nr. 575/2013 155. panta 2. punkta otrajā daļā minēto izlīdzināšanu.</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NEFONDĒTĀ KREDĪTAIZSARDZĪBA</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GARANTIJAS</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KREDĪTU ATVASINĀTIE INSTRUMENTI</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 xml:space="preserve">Neatkarīgi no pieejas, kas izvēlēta riska darījumu riska svērtās vērtības aprēķināšanai kapitāla vērtspapīru riska darījumiem, iestādes var atzīt </w:t>
            </w:r>
            <w:proofErr w:type="spellStart"/>
            <w:r>
              <w:rPr>
                <w:rFonts w:ascii="Times New Roman" w:hAnsi="Times New Roman"/>
                <w:sz w:val="24"/>
              </w:rPr>
              <w:t>nefondēto</w:t>
            </w:r>
            <w:proofErr w:type="spellEnd"/>
            <w:r>
              <w:rPr>
                <w:rFonts w:ascii="Times New Roman" w:hAnsi="Times New Roman"/>
                <w:sz w:val="24"/>
              </w:rPr>
              <w:t xml:space="preserve"> </w:t>
            </w:r>
            <w:proofErr w:type="spellStart"/>
            <w:r>
              <w:rPr>
                <w:rFonts w:ascii="Times New Roman" w:hAnsi="Times New Roman"/>
                <w:sz w:val="24"/>
              </w:rPr>
              <w:t>kredītaizsardzību</w:t>
            </w:r>
            <w:proofErr w:type="spellEnd"/>
            <w:r>
              <w:rPr>
                <w:rFonts w:ascii="Times New Roman" w:hAnsi="Times New Roman"/>
                <w:sz w:val="24"/>
              </w:rPr>
              <w:t>, kas iegūt kapitāla vērtspapīru riska darījumiem (Regulas (ES) Nr. 575/2013 155. panta 2., 3. un 4. punkts).</w:t>
            </w:r>
            <w:r>
              <w:rPr>
                <w:rStyle w:val="InstructionsTabelleText"/>
                <w:rFonts w:ascii="Times New Roman" w:hAnsi="Times New Roman"/>
                <w:sz w:val="24"/>
              </w:rPr>
              <w:t xml:space="preserve"> </w:t>
            </w:r>
            <w:r>
              <w:rPr>
                <w:rFonts w:ascii="Times New Roman" w:hAnsi="Times New Roman"/>
                <w:sz w:val="24"/>
              </w:rPr>
              <w:t xml:space="preserve">Iestādes, kas piemēro vienkāršo riska pakāpes pieeju vai </w:t>
            </w:r>
            <w:r>
              <w:rPr>
                <w:rFonts w:ascii="Times New Roman" w:hAnsi="Times New Roman"/>
                <w:i/>
                <w:iCs/>
                <w:sz w:val="24"/>
              </w:rPr>
              <w:t>PD</w:t>
            </w:r>
            <w:r>
              <w:rPr>
                <w:rFonts w:ascii="Times New Roman" w:hAnsi="Times New Roman"/>
                <w:sz w:val="24"/>
              </w:rPr>
              <w:t>/</w:t>
            </w:r>
            <w:r>
              <w:rPr>
                <w:rFonts w:ascii="Times New Roman" w:hAnsi="Times New Roman"/>
                <w:i/>
                <w:iCs/>
                <w:sz w:val="24"/>
              </w:rPr>
              <w:t>LGD</w:t>
            </w:r>
            <w:r>
              <w:rPr>
                <w:rFonts w:ascii="Times New Roman" w:hAnsi="Times New Roman"/>
                <w:sz w:val="24"/>
              </w:rPr>
              <w:t xml:space="preserve"> pieeju, 0030. un 0040. slejā uzrāda </w:t>
            </w:r>
            <w:proofErr w:type="spellStart"/>
            <w:r>
              <w:rPr>
                <w:rFonts w:ascii="Times New Roman" w:hAnsi="Times New Roman"/>
                <w:sz w:val="24"/>
              </w:rPr>
              <w:t>nefondētās</w:t>
            </w:r>
            <w:proofErr w:type="spellEnd"/>
            <w:r>
              <w:rPr>
                <w:rFonts w:ascii="Times New Roman" w:hAnsi="Times New Roman"/>
                <w:sz w:val="24"/>
              </w:rPr>
              <w:t xml:space="preserve"> </w:t>
            </w:r>
            <w:proofErr w:type="spellStart"/>
            <w:r>
              <w:rPr>
                <w:rFonts w:ascii="Times New Roman" w:hAnsi="Times New Roman"/>
                <w:sz w:val="24"/>
              </w:rPr>
              <w:t>kredītaizsardzības</w:t>
            </w:r>
            <w:proofErr w:type="spellEnd"/>
            <w:r>
              <w:rPr>
                <w:rFonts w:ascii="Times New Roman" w:hAnsi="Times New Roman"/>
                <w:sz w:val="24"/>
              </w:rPr>
              <w:t xml:space="preserve"> summu garantiju (0030. sleja) vai kredītu atvasināto instrumentu (0040. sleja) veidā, kas atzīta saskaņā ar Regulas (ES) Nr. 575/2013 Trešās daļas II sadaļas 4. nodaļā noteiktajām metodēm.</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DARĪJUMA AIZSTĀŠANA SAISTĪBĀ AR KRM</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IZEJOŠĀS NAUDAS PLŪSMAS KOPĀ</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 xml:space="preserve">Iestādes 0050. slejā uzrāda to daļu no sākotnējās riska darījuma vērtības pirms korekcijas pakāpēm, kurai piemēro </w:t>
            </w:r>
            <w:proofErr w:type="spellStart"/>
            <w:r>
              <w:rPr>
                <w:rFonts w:ascii="Times New Roman" w:hAnsi="Times New Roman"/>
                <w:sz w:val="24"/>
              </w:rPr>
              <w:t>nefondēto</w:t>
            </w:r>
            <w:proofErr w:type="spellEnd"/>
            <w:r>
              <w:rPr>
                <w:rFonts w:ascii="Times New Roman" w:hAnsi="Times New Roman"/>
                <w:sz w:val="24"/>
              </w:rPr>
              <w:t xml:space="preserve"> </w:t>
            </w:r>
            <w:proofErr w:type="spellStart"/>
            <w:r>
              <w:rPr>
                <w:rFonts w:ascii="Times New Roman" w:hAnsi="Times New Roman"/>
                <w:sz w:val="24"/>
              </w:rPr>
              <w:t>kredītaizsardzību</w:t>
            </w:r>
            <w:proofErr w:type="spellEnd"/>
            <w:r>
              <w:rPr>
                <w:rFonts w:ascii="Times New Roman" w:hAnsi="Times New Roman"/>
                <w:sz w:val="24"/>
              </w:rPr>
              <w:t>, kas atzīta saskaņā ar Regulas (ES) Nr. 575/2013 Trešās daļas II sadaļas 4. nodaļā noteiktajām metodēm.</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VĒRTĪBA</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 xml:space="preserve">Iestādes, kas piemēro vienkāršo riska pakāpes pieeju vai </w:t>
            </w:r>
            <w:r>
              <w:rPr>
                <w:rFonts w:ascii="Times New Roman" w:hAnsi="Times New Roman"/>
                <w:i/>
                <w:iCs/>
                <w:sz w:val="24"/>
              </w:rPr>
              <w:t>PD</w:t>
            </w:r>
            <w:r>
              <w:rPr>
                <w:rFonts w:ascii="Times New Roman" w:hAnsi="Times New Roman"/>
                <w:sz w:val="24"/>
              </w:rPr>
              <w:t>/</w:t>
            </w:r>
            <w:r>
              <w:rPr>
                <w:rFonts w:ascii="Times New Roman" w:hAnsi="Times New Roman"/>
                <w:i/>
                <w:iCs/>
                <w:sz w:val="24"/>
              </w:rPr>
              <w:t>LGD</w:t>
            </w:r>
            <w:r>
              <w:rPr>
                <w:rFonts w:ascii="Times New Roman" w:hAnsi="Times New Roman"/>
                <w:sz w:val="24"/>
              </w:rPr>
              <w:t xml:space="preserve"> pieeju, 0060. slejā uzrāda riska darījuma vērtību, ņemot vērā aizstāšanas ietekmi, kas izriet no </w:t>
            </w:r>
            <w:proofErr w:type="spellStart"/>
            <w:r>
              <w:rPr>
                <w:rFonts w:ascii="Times New Roman" w:hAnsi="Times New Roman"/>
                <w:sz w:val="24"/>
              </w:rPr>
              <w:t>nefondētās</w:t>
            </w:r>
            <w:proofErr w:type="spellEnd"/>
            <w:r>
              <w:rPr>
                <w:rFonts w:ascii="Times New Roman" w:hAnsi="Times New Roman"/>
                <w:sz w:val="24"/>
              </w:rPr>
              <w:t xml:space="preserve"> </w:t>
            </w:r>
            <w:proofErr w:type="spellStart"/>
            <w:r>
              <w:rPr>
                <w:rFonts w:ascii="Times New Roman" w:hAnsi="Times New Roman"/>
                <w:sz w:val="24"/>
              </w:rPr>
              <w:t>kredītaizsardzības</w:t>
            </w:r>
            <w:proofErr w:type="spellEnd"/>
            <w:r>
              <w:rPr>
                <w:rFonts w:ascii="Times New Roman" w:hAnsi="Times New Roman"/>
                <w:sz w:val="24"/>
              </w:rPr>
              <w:t xml:space="preserve"> (Regulas (ES) Nr. 575/2013 155. panta 2. un 3. punkts un 167. pants).</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Kapitāla vērtspapīru ārpusbilances riska darījumu gadījumā riska darījuma vērtība ir nominālvērtība pēc specifiskajām kredītriska korekcijām (Regulas (ES) Nr. 575/2013 167. pants).</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 KĀ: ĀRPUSBILANCES POSTEŅI</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Sk. CR SA norādes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SVĒRTIE VIDĒJIE</w:t>
            </w:r>
            <w:r>
              <w:rPr>
                <w:rStyle w:val="InstructionsTabelleberschrift"/>
                <w:rFonts w:ascii="Times New Roman" w:hAnsi="Times New Roman"/>
                <w:i/>
                <w:iCs/>
                <w:sz w:val="24"/>
              </w:rPr>
              <w:t xml:space="preserve"> LGD</w:t>
            </w:r>
            <w:r>
              <w:rPr>
                <w:rStyle w:val="InstructionsTabelleberschrift"/>
                <w:rFonts w:ascii="Times New Roman" w:hAnsi="Times New Roman"/>
                <w:sz w:val="24"/>
              </w:rPr>
              <w:t xml:space="preserve">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uzrāda riska darījumu svērtos vidējos </w:t>
            </w:r>
            <w:r>
              <w:rPr>
                <w:rStyle w:val="InstructionsTabelleText"/>
                <w:rFonts w:ascii="Times New Roman" w:hAnsi="Times New Roman"/>
                <w:i/>
                <w:iCs/>
                <w:sz w:val="24"/>
              </w:rPr>
              <w:t>LGD</w:t>
            </w:r>
            <w:r>
              <w:rPr>
                <w:rStyle w:val="InstructionsTabelleText"/>
                <w:rFonts w:ascii="Times New Roman" w:hAnsi="Times New Roman"/>
                <w:sz w:val="24"/>
              </w:rPr>
              <w:t>, kas noteikti apkopojumā iekļautajām parādnieku kategorijām vai portfeļiem.</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Riska darījuma vērtību, kurā ņemta vērā </w:t>
            </w:r>
            <w:proofErr w:type="spellStart"/>
            <w:r>
              <w:rPr>
                <w:rStyle w:val="InstructionsTabelleText"/>
                <w:rFonts w:ascii="Times New Roman" w:hAnsi="Times New Roman"/>
                <w:sz w:val="24"/>
              </w:rPr>
              <w:t>nefondētā</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kredītaizsardzība</w:t>
            </w:r>
            <w:proofErr w:type="spellEnd"/>
            <w:r>
              <w:rPr>
                <w:rStyle w:val="InstructionsTabelleText"/>
                <w:rFonts w:ascii="Times New Roman" w:hAnsi="Times New Roman"/>
                <w:sz w:val="24"/>
              </w:rPr>
              <w:t xml:space="preserve"> (0060. sleja), izmanto riska darījumu svērto vidējo </w:t>
            </w:r>
            <w:r>
              <w:rPr>
                <w:rStyle w:val="InstructionsTabelleText"/>
                <w:rFonts w:ascii="Times New Roman" w:hAnsi="Times New Roman"/>
                <w:i/>
                <w:iCs/>
                <w:sz w:val="24"/>
              </w:rPr>
              <w:t>LGD</w:t>
            </w:r>
            <w:r>
              <w:rPr>
                <w:rStyle w:val="InstructionsTabelleText"/>
                <w:rFonts w:ascii="Times New Roman" w:hAnsi="Times New Roman"/>
                <w:sz w:val="24"/>
              </w:rPr>
              <w:t xml:space="preserve"> aprēķināšanai.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Iestādes ņem vērā Regulas (ES) Nr. 575/2013 165. panta 2. punktu.</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Iestādes uzrāda riska darījumu riska svērto vērtību kapitāla vērtspapīru riska darījumiem, kas aprēķināta saskaņā ar Regulas (ES) Nr. 575/2013 155. pantu.</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 xml:space="preserve">Ja iestādēm, kas piemēro </w:t>
            </w:r>
            <w:r>
              <w:rPr>
                <w:rFonts w:ascii="Times New Roman" w:hAnsi="Times New Roman"/>
                <w:i/>
                <w:iCs/>
                <w:sz w:val="24"/>
              </w:rPr>
              <w:t>PD</w:t>
            </w:r>
            <w:r>
              <w:rPr>
                <w:rFonts w:ascii="Times New Roman" w:hAnsi="Times New Roman"/>
                <w:sz w:val="24"/>
              </w:rPr>
              <w:t>/</w:t>
            </w:r>
            <w:r>
              <w:rPr>
                <w:rFonts w:ascii="Times New Roman" w:hAnsi="Times New Roman"/>
                <w:i/>
                <w:iCs/>
                <w:sz w:val="24"/>
              </w:rPr>
              <w:t>LGD</w:t>
            </w:r>
            <w:r>
              <w:rPr>
                <w:rFonts w:ascii="Times New Roman" w:hAnsi="Times New Roman"/>
                <w:sz w:val="24"/>
              </w:rPr>
              <w:t xml:space="preserve"> pieeju, nav pietiekamas informācijas, lai lietotu Regulas (ES) Nr. 575/2013 178. pantā sniegto saistību neizpildes definīciju, riska darījumu riska svērtās vērtības aprēķinā riska svērumiem piemēro koeficientu 1,5 (Regulas (ES) Nr. 575/2013 155. panta 3. punkts).</w:t>
            </w:r>
            <w:r>
              <w:rPr>
                <w:rStyle w:val="InstructionsTabelleText"/>
                <w:rFonts w:ascii="Times New Roman" w:hAnsi="Times New Roman"/>
                <w:sz w:val="24"/>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 xml:space="preserve">Attiecībā uz riska pakāpes funkcijas </w:t>
            </w:r>
            <w:proofErr w:type="spellStart"/>
            <w:r>
              <w:rPr>
                <w:rFonts w:ascii="Times New Roman" w:hAnsi="Times New Roman"/>
                <w:sz w:val="24"/>
              </w:rPr>
              <w:t>ievadparametru</w:t>
            </w:r>
            <w:proofErr w:type="spellEnd"/>
            <w:r>
              <w:rPr>
                <w:rFonts w:ascii="Times New Roman" w:hAnsi="Times New Roman"/>
                <w:sz w:val="24"/>
              </w:rPr>
              <w:t xml:space="preserve"> M (termiņš) kapitāla vērtspapīru riska darījumiem piemērotais termiņš ir pieci gadi (Regulas (ES) Nr. 575/2013 165. panta 3. punkts).</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IZZIŅAS POSTENIS: PAREDZAMO ZAUDĒJUMU APMĒRS</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Iestādes 0090. slejā uzrāda kapitāla vērtspapīru riska darījumu paredzamo zaudējumu apmēru, kas aprēķināts saskaņā ar (Regulas (ES) Nr. 575/2013 158. panta 4., 7., 8. un 9. punktu.</w:t>
            </w:r>
            <w:r>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rsidRPr="002A677E">
        <w:t>98</w:t>
      </w:r>
      <w:r>
        <w:fldChar w:fldCharType="end"/>
      </w:r>
      <w:r>
        <w:t>.</w:t>
      </w:r>
      <w:r>
        <w:tab/>
        <w:t>[Svītrots]</w:t>
      </w:r>
    </w:p>
    <w:tbl>
      <w:tblPr>
        <w:tblW w:w="9524" w:type="dxa"/>
        <w:tblLook w:val="01E0" w:firstRow="1" w:lastRow="1" w:firstColumn="1" w:lastColumn="1" w:noHBand="0" w:noVBand="0"/>
      </w:tblPr>
      <w:tblGrid>
        <w:gridCol w:w="1797"/>
        <w:gridCol w:w="7727"/>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Rindas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0020. rinda</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iCs/>
                <w:sz w:val="24"/>
              </w:rPr>
              <w:t>PD/LGD</w:t>
            </w:r>
            <w:r>
              <w:rPr>
                <w:rStyle w:val="InstructionsTabelleberschrift"/>
                <w:rFonts w:ascii="Times New Roman" w:hAnsi="Times New Roman"/>
                <w:sz w:val="24"/>
              </w:rPr>
              <w:t xml:space="preserve"> PIEEJA: KOPĀ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 xml:space="preserve">Iestādes, kas piemēro </w:t>
            </w:r>
            <w:r>
              <w:rPr>
                <w:rFonts w:ascii="Times New Roman" w:hAnsi="Times New Roman"/>
                <w:i/>
                <w:iCs/>
                <w:sz w:val="24"/>
              </w:rPr>
              <w:t>PD</w:t>
            </w:r>
            <w:r>
              <w:rPr>
                <w:rFonts w:ascii="Times New Roman" w:hAnsi="Times New Roman"/>
                <w:sz w:val="24"/>
              </w:rPr>
              <w:t>/</w:t>
            </w:r>
            <w:r>
              <w:rPr>
                <w:rFonts w:ascii="Times New Roman" w:hAnsi="Times New Roman"/>
                <w:i/>
                <w:iCs/>
                <w:sz w:val="24"/>
              </w:rPr>
              <w:t>LGD</w:t>
            </w:r>
            <w:r>
              <w:rPr>
                <w:rFonts w:ascii="Times New Roman" w:hAnsi="Times New Roman"/>
                <w:sz w:val="24"/>
              </w:rPr>
              <w:t xml:space="preserve"> pieeju (Regulas (ES) Nr. 575/2013 155. panta 3. punkts), pieprasīto informāciju uzrāda CR EQU IRB 1 veidnes 0020. rindā.</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0050.–0090. rinda</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VIENKĀRŠĀ RISKA SVĒRUMA PIEEJA: KOPĀ</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KOPĒJĀS RISKA DARĪJUMU VĒRTĪBAS SADALĪJUMS PA RISKA SVĒRUMIEM SASKAŅĀ AR VIENKĀRŠO RISKA SVĒRUMA PIEEJU</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Iestādes, kas piemēro vienkāršo riska svēruma pieeju (Regulas (ES) Nr. 575/2013 155. panta 2. punkts), pieprasīto informāciju uzrāda 0050.–0090. rindā atbilstoši pamatā esošo riska darījumu iezīmēm.</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0100. rinda</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IEKŠĒJO MODEĻU PIEEJA</w:t>
            </w:r>
          </w:p>
          <w:p w14:paraId="186E4F54" w14:textId="77777777" w:rsidR="006063BD" w:rsidRPr="002A677E" w:rsidRDefault="006063BD" w:rsidP="00E07FE9">
            <w:pPr>
              <w:pStyle w:val="InstructionsText"/>
              <w:rPr>
                <w:rStyle w:val="FormatvorlageInstructionsTabelleText"/>
                <w:bCs w:val="0"/>
              </w:rPr>
            </w:pPr>
            <w:r>
              <w:t>Iestādes, kas piemēro iekšējo modeļu pieeju (Regulas (ES) Nr. 575/2013 155. panta 4. punkts), prasīto informāciju uzrāda 0100. rindā.</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0110. rinda</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KAPITĀLA VĒRTSPAPĪRU RISKA DARĪJUMI, KAM PIEMĒRO RISKA SVĒRUMUS</w:t>
            </w:r>
          </w:p>
          <w:p w14:paraId="7E2EA0A2" w14:textId="77777777" w:rsidR="006063BD" w:rsidRPr="002A677E" w:rsidRDefault="006063BD" w:rsidP="00E07FE9">
            <w:pPr>
              <w:rPr>
                <w:rFonts w:ascii="Times New Roman" w:hAnsi="Times New Roman"/>
                <w:sz w:val="24"/>
              </w:rPr>
            </w:pPr>
            <w:r>
              <w:rPr>
                <w:rFonts w:ascii="Times New Roman" w:hAnsi="Times New Roman"/>
                <w:sz w:val="24"/>
              </w:rPr>
              <w:t>Iestādes, kas piemēro IRB pieeju, uzrāda riska darījumu riska svērtās vērtības tiem kapitāla vērtspapīru riska darījumiem, kas piesaista fiksētas riska svēruma procedūru (bet kam netiek skaidri piemērota vienkāršā riska svēruma pieeja vai kredītriska standartizētās pieejas (pagaidu vai pastāvīga) daļēja izmantošana), ietverot šādus riska darījumus:</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t>- tādu riska darījumu riska svērto vērtību kapitāla vērtspapīru pozīcijām finanšu sektora sabiedrībās, kam piemēro Regulas (ES) Nr. 575/2013 48. panta 4. punkta procedūru, kā arī</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xml:space="preserve">- kapitāla vērtspapīru pozīcijas, kurām saskaņā ar Regulas (ES) Nr. 575/2013 471. panta 2. punktu piemērots riska svērums 370 % apmērā, uzrāda 0110. rindā </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KOPĒJĀS RISKA DARĪJUMU VĒRTĪBAS SADALĪJUMS PA PARĀDNIEKU KATEGORIJĀM SASKAŅĀ AR </w:t>
            </w:r>
            <w:r>
              <w:rPr>
                <w:rStyle w:val="InstructionsTabelleberschrift"/>
                <w:rFonts w:ascii="Times New Roman" w:hAnsi="Times New Roman"/>
                <w:i/>
                <w:iCs/>
                <w:sz w:val="24"/>
              </w:rPr>
              <w:t>PD</w:t>
            </w:r>
            <w:r>
              <w:rPr>
                <w:rStyle w:val="InstructionsTabelleberschrift"/>
                <w:rFonts w:ascii="Times New Roman" w:hAnsi="Times New Roman"/>
                <w:sz w:val="24"/>
              </w:rPr>
              <w:t>/</w:t>
            </w:r>
            <w:r>
              <w:rPr>
                <w:rStyle w:val="InstructionsTabelleberschrift"/>
                <w:rFonts w:ascii="Times New Roman" w:hAnsi="Times New Roman"/>
                <w:i/>
                <w:iCs/>
                <w:sz w:val="24"/>
              </w:rPr>
              <w:t>LGD</w:t>
            </w:r>
            <w:r>
              <w:rPr>
                <w:rStyle w:val="InstructionsTabelleberschrift"/>
                <w:rFonts w:ascii="Times New Roman" w:hAnsi="Times New Roman"/>
                <w:sz w:val="24"/>
              </w:rPr>
              <w:t xml:space="preserve"> PIEEJU</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 xml:space="preserve">Iestādes, kas piemēro </w:t>
            </w:r>
            <w:r>
              <w:rPr>
                <w:rFonts w:ascii="Times New Roman" w:hAnsi="Times New Roman"/>
                <w:i/>
                <w:iCs/>
                <w:sz w:val="24"/>
              </w:rPr>
              <w:t>PD</w:t>
            </w:r>
            <w:r>
              <w:rPr>
                <w:rFonts w:ascii="Times New Roman" w:hAnsi="Times New Roman"/>
                <w:sz w:val="24"/>
              </w:rPr>
              <w:t>/</w:t>
            </w:r>
            <w:r>
              <w:rPr>
                <w:rFonts w:ascii="Times New Roman" w:hAnsi="Times New Roman"/>
                <w:i/>
                <w:iCs/>
                <w:sz w:val="24"/>
              </w:rPr>
              <w:t>LGD</w:t>
            </w:r>
            <w:r>
              <w:rPr>
                <w:rFonts w:ascii="Times New Roman" w:hAnsi="Times New Roman"/>
                <w:sz w:val="24"/>
              </w:rPr>
              <w:t xml:space="preserve"> pieeju (Regulas (ES) Nr. 575/2013 155. panta 3. punkts), pieprasīto informāciju uzrāda CR EQU IRB 2 veidnē.</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Iestādes, kas izmanto</w:t>
            </w:r>
            <w:r>
              <w:rPr>
                <w:rStyle w:val="InstructionsTabelleText"/>
                <w:rFonts w:ascii="Times New Roman" w:hAnsi="Times New Roman"/>
                <w:i/>
                <w:iCs/>
                <w:sz w:val="24"/>
              </w:rPr>
              <w:t xml:space="preserve"> PD/LGD</w:t>
            </w:r>
            <w:r>
              <w:rPr>
                <w:rStyle w:val="InstructionsTabelleText"/>
                <w:rFonts w:ascii="Times New Roman" w:hAnsi="Times New Roman"/>
                <w:sz w:val="24"/>
              </w:rPr>
              <w:t xml:space="preserve"> pieeju, piemēro unikālu reitingu skalu vai var sniegt pārskatu saskaņā ar iekšēju </w:t>
            </w:r>
            <w:proofErr w:type="spellStart"/>
            <w:r>
              <w:rPr>
                <w:rStyle w:val="InstructionsTabelleText"/>
                <w:rFonts w:ascii="Times New Roman" w:hAnsi="Times New Roman"/>
                <w:sz w:val="24"/>
              </w:rPr>
              <w:t>paraugskalu</w:t>
            </w:r>
            <w:proofErr w:type="spellEnd"/>
            <w:r>
              <w:rPr>
                <w:rStyle w:val="InstructionsTabelleText"/>
                <w:rFonts w:ascii="Times New Roman" w:hAnsi="Times New Roman"/>
                <w:sz w:val="24"/>
              </w:rPr>
              <w:t>, CR EQU RB 2 uzrāda reitinga kategorijas vai portfeļus, kas saistīti ar šo unikālo reitingu skalu/</w:t>
            </w:r>
            <w:proofErr w:type="spellStart"/>
            <w:r>
              <w:rPr>
                <w:rStyle w:val="InstructionsTabelleText"/>
                <w:rFonts w:ascii="Times New Roman" w:hAnsi="Times New Roman"/>
                <w:sz w:val="24"/>
              </w:rPr>
              <w:t>paraugskalu</w:t>
            </w:r>
            <w:proofErr w:type="spellEnd"/>
            <w:r>
              <w:rPr>
                <w:rStyle w:val="InstructionsTabelleText"/>
                <w:rFonts w:ascii="Times New Roman" w:hAnsi="Times New Roman"/>
                <w:sz w:val="24"/>
              </w:rPr>
              <w:t xml:space="preserve">. Visos citos gadījumos dažādās reitingu skalas apvieno un sakārto saskaņā ar šādiem kritērijiem: dažādu reitingu skalu parādnieku kategorijas vai portfeļus apvieno un sakārto no zemākās katrai parādnieku kategorijai vai portfelim noteiktās </w:t>
            </w:r>
            <w:r>
              <w:rPr>
                <w:rStyle w:val="InstructionsTabelleText"/>
                <w:rFonts w:ascii="Times New Roman" w:hAnsi="Times New Roman"/>
                <w:i/>
                <w:iCs/>
                <w:sz w:val="24"/>
              </w:rPr>
              <w:t>PD</w:t>
            </w:r>
            <w:r>
              <w:rPr>
                <w:rStyle w:val="InstructionsTabelleText"/>
                <w:rFonts w:ascii="Times New Roman" w:hAnsi="Times New Roman"/>
                <w:sz w:val="24"/>
              </w:rPr>
              <w:t xml:space="preserve"> uz augstāko.</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EB33E" w14:textId="77777777" w:rsidR="00181995" w:rsidRDefault="00181995" w:rsidP="006063BD">
      <w:pPr>
        <w:spacing w:before="0" w:after="0"/>
      </w:pPr>
      <w:r>
        <w:separator/>
      </w:r>
    </w:p>
  </w:endnote>
  <w:endnote w:type="continuationSeparator" w:id="0">
    <w:p w14:paraId="0FF6258F" w14:textId="77777777" w:rsidR="00181995" w:rsidRDefault="00181995"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4B7A9" w14:textId="77777777" w:rsidR="00181995" w:rsidRDefault="00181995" w:rsidP="006063BD">
      <w:pPr>
        <w:spacing w:before="0" w:after="0"/>
      </w:pPr>
      <w:r>
        <w:separator/>
      </w:r>
    </w:p>
  </w:footnote>
  <w:footnote w:type="continuationSeparator" w:id="0">
    <w:p w14:paraId="5D4A35AC" w14:textId="77777777" w:rsidR="00181995" w:rsidRDefault="00181995"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181995"/>
    <w:rsid w:val="0039485D"/>
    <w:rsid w:val="003F18D7"/>
    <w:rsid w:val="00402ED1"/>
    <w:rsid w:val="00441DF2"/>
    <w:rsid w:val="004E4837"/>
    <w:rsid w:val="00546AF1"/>
    <w:rsid w:val="005D3EE5"/>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22C1B559-52DE-4604-AB73-92901D4C94F6}"/>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1532</Words>
  <Characters>9381</Characters>
  <Application>Microsoft Office Word</Application>
  <DocSecurity>0</DocSecurity>
  <Lines>218</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2025-01-27T14:14:00Z</dcterms:created>
  <dcterms:modified xsi:type="dcterms:W3CDTF">2025-01-27T14:14:00Z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